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739"/>
        <w:tblW w:w="11321"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21"/>
      </w:tblGrid>
      <w:tr w:rsidR="00A6285D" w:rsidTr="00DA2C7E">
        <w:trPr>
          <w:trHeight w:val="1298"/>
        </w:trPr>
        <w:tc>
          <w:tcPr>
            <w:tcW w:w="11321" w:type="dxa"/>
          </w:tcPr>
          <w:bookmarkStart w:id="0" w:name="_GoBack"/>
          <w:bookmarkEnd w:id="0"/>
          <w:p w:rsidR="00A6285D" w:rsidRDefault="001639CE" w:rsidP="00DA2C7E">
            <w:pPr>
              <w:spacing w:before="0"/>
              <w:jc w:val="both"/>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2712085</wp:posOffset>
                      </wp:positionH>
                      <wp:positionV relativeFrom="paragraph">
                        <wp:posOffset>154940</wp:posOffset>
                      </wp:positionV>
                      <wp:extent cx="2497455" cy="589280"/>
                      <wp:effectExtent l="8890" t="10795" r="17780" b="952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97455" cy="589280"/>
                              </a:xfrm>
                              <a:prstGeom prst="rect">
                                <a:avLst/>
                              </a:prstGeom>
                              <a:extLst>
                                <a:ext uri="{AF507438-7753-43E0-B8FC-AC1667EBCBE1}">
                                  <a14:hiddenEffects xmlns:a14="http://schemas.microsoft.com/office/drawing/2010/main">
                                    <a:effectLst/>
                                  </a14:hiddenEffects>
                                </a:ext>
                              </a:extLst>
                            </wps:spPr>
                            <wps:txbx>
                              <w:txbxContent>
                                <w:p w:rsidR="001639CE" w:rsidRDefault="001639CE" w:rsidP="001639CE">
                                  <w:pPr>
                                    <w:pStyle w:val="NormalWeb"/>
                                    <w:spacing w:before="0" w:beforeAutospacing="0" w:after="0" w:afterAutospacing="0"/>
                                    <w:jc w:val="center"/>
                                  </w:pPr>
                                  <w:r>
                                    <w:rPr>
                                      <w:rFonts w:ascii="Arial Black" w:hAnsi="Arial Black"/>
                                      <w:color w:val="548DD4"/>
                                      <w:sz w:val="32"/>
                                      <w:szCs w:val="32"/>
                                      <w14:textOutline w14:w="9525" w14:cap="flat" w14:cmpd="sng" w14:algn="ctr">
                                        <w14:solidFill>
                                          <w14:srgbClr w14:val="000000"/>
                                        </w14:solidFill>
                                        <w14:prstDash w14:val="solid"/>
                                        <w14:round/>
                                      </w14:textOutline>
                                    </w:rPr>
                                    <w:t>DROIT(S) DE SAVOIR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213.55pt;margin-top:12.2pt;width:196.65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" filled="f" stroked="f">
                      <o:lock v:ext="edit" shapetype="t"/>
                      <v:textbox style="mso-fit-shape-to-text:t">
                        <w:txbxContent>
                          <w:p w:rsidR="001639CE" w:rsidRDefault="001639CE" w:rsidP="001639CE">
                            <w:pPr>
                              <w:pStyle w:val="NormalWeb"/>
                              <w:spacing w:before="0" w:beforeAutospacing="0" w:after="0" w:afterAutospacing="0"/>
                              <w:jc w:val="center"/>
                            </w:pPr>
                            <w:r>
                              <w:rPr>
                                <w:rFonts w:ascii="Arial Black" w:hAnsi="Arial Black"/>
                                <w:color w:val="548DD4"/>
                                <w:sz w:val="32"/>
                                <w:szCs w:val="32"/>
                                <w14:textOutline w14:w="9525" w14:cap="flat" w14:cmpd="sng" w14:algn="ctr">
                                  <w14:solidFill>
                                    <w14:srgbClr w14:val="000000"/>
                                  </w14:solidFill>
                                  <w14:prstDash w14:val="solid"/>
                                  <w14:round/>
                                </w14:textOutline>
                              </w:rPr>
                              <w:t>DROIT(S) DE SAVOIR</w:t>
                            </w:r>
                          </w:p>
                        </w:txbxContent>
                      </v:textbox>
                    </v:shape>
                  </w:pict>
                </mc:Fallback>
              </mc:AlternateContent>
            </w:r>
            <w:r w:rsidR="00A6285D">
              <w:rPr>
                <w:noProof/>
              </w:rPr>
              <w:drawing>
                <wp:anchor distT="0" distB="0" distL="114300" distR="114300" simplePos="0" relativeHeight="251659264" behindDoc="0" locked="0" layoutInCell="1" allowOverlap="1">
                  <wp:simplePos x="0" y="0"/>
                  <wp:positionH relativeFrom="column">
                    <wp:posOffset>804545</wp:posOffset>
                  </wp:positionH>
                  <wp:positionV relativeFrom="paragraph">
                    <wp:posOffset>68580</wp:posOffset>
                  </wp:positionV>
                  <wp:extent cx="607060" cy="581660"/>
                  <wp:effectExtent l="0" t="0" r="0" b="0"/>
                  <wp:wrapTight wrapText="bothSides">
                    <wp:wrapPolygon edited="0">
                      <wp:start x="0" y="7074"/>
                      <wp:lineTo x="0" y="21223"/>
                      <wp:lineTo x="21013" y="21223"/>
                      <wp:lineTo x="21013" y="7074"/>
                      <wp:lineTo x="0" y="7074"/>
                    </wp:wrapPolygon>
                  </wp:wrapTight>
                  <wp:docPr id="1" name="Image 1" descr="logora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ravina"/>
                          <pic:cNvPicPr>
                            <a:picLocks noChangeAspect="1" noChangeArrowheads="1"/>
                          </pic:cNvPicPr>
                        </pic:nvPicPr>
                        <pic:blipFill>
                          <a:blip r:embed="rId4" cstate="print">
                            <a:extLst>
                              <a:ext uri="{28A0092B-C50C-407E-A947-70E740481C1C}">
                                <a14:useLocalDpi xmlns:a14="http://schemas.microsoft.com/office/drawing/2010/main" val="0"/>
                              </a:ext>
                            </a:extLst>
                          </a:blip>
                          <a:srcRect t="-62643"/>
                          <a:stretch>
                            <a:fillRect/>
                          </a:stretch>
                        </pic:blipFill>
                        <pic:spPr bwMode="auto">
                          <a:xfrm>
                            <a:off x="0" y="0"/>
                            <a:ext cx="6070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85D">
              <w:br w:type="page"/>
            </w:r>
            <w:r w:rsidR="00A6285D">
              <w:br w:type="page"/>
            </w:r>
          </w:p>
          <w:p w:rsidR="00A6285D" w:rsidRDefault="00A6285D" w:rsidP="00DA2C7E">
            <w:pPr>
              <w:spacing w:before="0"/>
              <w:jc w:val="both"/>
              <w:rPr>
                <w:sz w:val="24"/>
              </w:rPr>
            </w:pPr>
          </w:p>
          <w:p w:rsidR="00A6285D" w:rsidRDefault="00A6285D" w:rsidP="00DA2C7E">
            <w:pPr>
              <w:spacing w:before="0"/>
              <w:jc w:val="both"/>
              <w:rPr>
                <w:sz w:val="24"/>
              </w:rPr>
            </w:pPr>
            <w:r>
              <w:rPr>
                <w:sz w:val="24"/>
              </w:rPr>
              <w:t xml:space="preserve">                                          </w:t>
            </w:r>
          </w:p>
          <w:p w:rsidR="00A6285D" w:rsidRDefault="00A6285D" w:rsidP="00DA2C7E">
            <w:pPr>
              <w:spacing w:before="0"/>
              <w:jc w:val="both"/>
              <w:rPr>
                <w:sz w:val="24"/>
              </w:rPr>
            </w:pPr>
            <w:r>
              <w:rPr>
                <w:sz w:val="24"/>
              </w:rPr>
              <w:t xml:space="preserve">                                               </w:t>
            </w:r>
          </w:p>
          <w:p w:rsidR="00A6285D" w:rsidRPr="00947236" w:rsidRDefault="00A6285D" w:rsidP="00DA2C7E">
            <w:pPr>
              <w:spacing w:before="0"/>
              <w:ind w:left="851" w:hanging="851"/>
              <w:jc w:val="both"/>
              <w:rPr>
                <w:b/>
                <w:bCs/>
                <w:sz w:val="28"/>
              </w:rPr>
            </w:pPr>
            <w:r>
              <w:rPr>
                <w:rFonts w:ascii="Lucida Handwriting" w:hAnsi="Lucida Handwriting"/>
                <w:i/>
                <w:iCs/>
                <w:sz w:val="22"/>
                <w:szCs w:val="22"/>
              </w:rPr>
              <w:t xml:space="preserve">       </w:t>
            </w:r>
            <w:r w:rsidRPr="00947236">
              <w:rPr>
                <w:rFonts w:ascii="Lucida Handwriting" w:hAnsi="Lucida Handwriting"/>
                <w:i/>
                <w:iCs/>
                <w:sz w:val="22"/>
                <w:szCs w:val="22"/>
              </w:rPr>
              <w:t>Prévenir vaut mieux</w:t>
            </w:r>
            <w:r>
              <w:rPr>
                <w:rFonts w:ascii="Lucida Handwriting" w:hAnsi="Lucida Handwriting"/>
                <w:i/>
                <w:iCs/>
                <w:sz w:val="22"/>
                <w:szCs w:val="22"/>
              </w:rPr>
              <w:t xml:space="preserve"> ...                                                                                           </w:t>
            </w:r>
            <w:r>
              <w:rPr>
                <w:rFonts w:ascii="Lucida Handwriting" w:hAnsi="Lucida Handwriting"/>
                <w:b/>
                <w:bCs/>
                <w:i/>
                <w:iCs/>
                <w:sz w:val="32"/>
                <w:szCs w:val="22"/>
              </w:rPr>
              <w:t>2016</w:t>
            </w:r>
          </w:p>
          <w:p w:rsidR="00A6285D" w:rsidRDefault="00A6285D" w:rsidP="00DA2C7E">
            <w:pPr>
              <w:spacing w:before="0"/>
              <w:jc w:val="both"/>
              <w:rPr>
                <w:b/>
                <w:bCs/>
                <w:i/>
                <w:iCs/>
                <w:sz w:val="28"/>
              </w:rPr>
            </w:pPr>
            <w:r>
              <w:rPr>
                <w:b/>
                <w:bCs/>
                <w:i/>
                <w:iCs/>
                <w:sz w:val="28"/>
              </w:rPr>
              <w:t xml:space="preserve">                                                                                  378                                                      </w:t>
            </w:r>
            <w:r w:rsidRPr="00947236">
              <w:rPr>
                <w:b/>
                <w:bCs/>
                <w:i/>
                <w:iCs/>
                <w:sz w:val="28"/>
              </w:rPr>
              <w:t>1</w:t>
            </w:r>
            <w:r w:rsidRPr="00947236">
              <w:rPr>
                <w:b/>
                <w:bCs/>
                <w:i/>
                <w:iCs/>
                <w:sz w:val="28"/>
                <w:vertAlign w:val="superscript"/>
              </w:rPr>
              <w:t>er</w:t>
            </w:r>
            <w:r w:rsidRPr="00947236">
              <w:rPr>
                <w:b/>
                <w:bCs/>
                <w:i/>
                <w:iCs/>
                <w:sz w:val="28"/>
              </w:rPr>
              <w:t xml:space="preserve"> </w:t>
            </w:r>
            <w:r>
              <w:rPr>
                <w:b/>
                <w:bCs/>
                <w:i/>
                <w:iCs/>
                <w:sz w:val="28"/>
              </w:rPr>
              <w:t>Avril</w:t>
            </w:r>
          </w:p>
        </w:tc>
      </w:tr>
    </w:tbl>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0A0ADE" w:rsidRDefault="00A6285D" w:rsidP="00A6285D">
      <w:pPr>
        <w:pStyle w:val="En-tte"/>
        <w:tabs>
          <w:tab w:val="clear" w:pos="4536"/>
          <w:tab w:val="clear" w:pos="9072"/>
          <w:tab w:val="left" w:pos="-360"/>
          <w:tab w:val="left" w:pos="1020"/>
        </w:tabs>
        <w:ind w:left="-567"/>
        <w:jc w:val="both"/>
        <w:rPr>
          <w:rFonts w:ascii="Brush Script MT" w:hAnsi="Brush Script MT"/>
          <w:b/>
          <w:szCs w:val="24"/>
        </w:rPr>
      </w:pPr>
      <w:r w:rsidRPr="000A0ADE">
        <w:rPr>
          <w:rFonts w:ascii="Brush Script MT" w:hAnsi="Brush Script MT"/>
          <w:b/>
          <w:szCs w:val="24"/>
        </w:rPr>
        <w:t xml:space="preserve">Droit </w:t>
      </w:r>
      <w:r>
        <w:rPr>
          <w:rFonts w:ascii="Brush Script MT" w:hAnsi="Brush Script MT"/>
          <w:b/>
          <w:szCs w:val="24"/>
        </w:rPr>
        <w:t xml:space="preserve"> Immobilier </w:t>
      </w:r>
    </w:p>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Default="00A6285D" w:rsidP="00A6285D">
      <w:pPr>
        <w:pStyle w:val="En-tte"/>
        <w:tabs>
          <w:tab w:val="clear" w:pos="4536"/>
          <w:tab w:val="clear" w:pos="9072"/>
          <w:tab w:val="left" w:pos="-360"/>
          <w:tab w:val="left" w:pos="1418"/>
        </w:tabs>
        <w:ind w:left="1418"/>
        <w:jc w:val="both"/>
        <w:rPr>
          <w:rFonts w:ascii="Times New Roman" w:hAnsi="Times New Roman"/>
          <w:szCs w:val="24"/>
        </w:rPr>
      </w:pPr>
      <w:r>
        <w:rPr>
          <w:rFonts w:ascii="Times New Roman" w:hAnsi="Times New Roman"/>
          <w:b/>
          <w:szCs w:val="24"/>
          <w:u w:val="single"/>
        </w:rPr>
        <w:t>Baux Commerciaux</w:t>
      </w:r>
      <w:r>
        <w:rPr>
          <w:rFonts w:ascii="Times New Roman" w:hAnsi="Times New Roman"/>
          <w:szCs w:val="24"/>
        </w:rPr>
        <w:t> :</w:t>
      </w:r>
    </w:p>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8F52C8" w:rsidRDefault="00A6285D" w:rsidP="00A6285D">
      <w:pPr>
        <w:pStyle w:val="En-tte"/>
        <w:tabs>
          <w:tab w:val="clear" w:pos="4536"/>
          <w:tab w:val="clear" w:pos="9072"/>
          <w:tab w:val="left" w:pos="-360"/>
          <w:tab w:val="left" w:pos="1020"/>
        </w:tabs>
        <w:ind w:left="426"/>
        <w:jc w:val="both"/>
        <w:rPr>
          <w:rFonts w:ascii="Times New Roman" w:hAnsi="Times New Roman"/>
          <w:sz w:val="22"/>
          <w:szCs w:val="22"/>
        </w:rPr>
      </w:pPr>
      <w:r w:rsidRPr="00B1235A">
        <w:rPr>
          <w:rFonts w:ascii="Times New Roman" w:hAnsi="Times New Roman"/>
          <w:szCs w:val="24"/>
        </w:rPr>
        <w:t>La Cour de Cassation vient de préciser, ainsi que l’avaient jugé les Juges du fond, que la clause d’indexation d’un bail commercial prévoyant que le loyer ne pourrait être révisé qu’à la hausse est nulle : le propre d’une clause d’échelle mobile est de faire varier à la hausse et à la baisse le loyer ; la clause écartant toute réciprocité de variation fausse en conséquence le jeu normal de l’indexation</w:t>
      </w:r>
      <w:r w:rsidRPr="008F52C8">
        <w:rPr>
          <w:rFonts w:ascii="Times New Roman" w:hAnsi="Times New Roman"/>
          <w:sz w:val="22"/>
          <w:szCs w:val="22"/>
        </w:rPr>
        <w:t>.</w:t>
      </w:r>
    </w:p>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0A0ADE" w:rsidRDefault="00A6285D" w:rsidP="00A6285D">
      <w:pPr>
        <w:pStyle w:val="En-tte"/>
        <w:tabs>
          <w:tab w:val="clear" w:pos="4536"/>
          <w:tab w:val="clear" w:pos="9072"/>
          <w:tab w:val="left" w:pos="-360"/>
          <w:tab w:val="left" w:pos="1020"/>
        </w:tabs>
        <w:ind w:left="-567"/>
        <w:jc w:val="both"/>
        <w:rPr>
          <w:rFonts w:ascii="Brush Script MT" w:hAnsi="Brush Script MT"/>
          <w:b/>
          <w:szCs w:val="24"/>
        </w:rPr>
      </w:pPr>
      <w:r>
        <w:rPr>
          <w:rFonts w:ascii="Brush Script MT" w:hAnsi="Brush Script MT"/>
          <w:b/>
          <w:szCs w:val="24"/>
        </w:rPr>
        <w:t xml:space="preserve">Droit Commercial - </w:t>
      </w:r>
      <w:r w:rsidRPr="000A0ADE">
        <w:rPr>
          <w:rFonts w:ascii="Brush Script MT" w:hAnsi="Brush Script MT"/>
          <w:b/>
          <w:szCs w:val="24"/>
        </w:rPr>
        <w:t>Droit Social</w:t>
      </w:r>
    </w:p>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Default="00A6285D" w:rsidP="00A6285D">
      <w:pPr>
        <w:pStyle w:val="En-tte"/>
        <w:tabs>
          <w:tab w:val="clear" w:pos="4536"/>
          <w:tab w:val="clear" w:pos="9072"/>
          <w:tab w:val="left" w:pos="-360"/>
          <w:tab w:val="left" w:pos="1418"/>
        </w:tabs>
        <w:ind w:left="1418"/>
        <w:jc w:val="both"/>
        <w:rPr>
          <w:rFonts w:ascii="Times New Roman" w:hAnsi="Times New Roman"/>
          <w:szCs w:val="24"/>
        </w:rPr>
      </w:pPr>
      <w:r>
        <w:rPr>
          <w:rFonts w:ascii="Times New Roman" w:hAnsi="Times New Roman"/>
          <w:b/>
          <w:szCs w:val="24"/>
          <w:u w:val="single"/>
        </w:rPr>
        <w:t>L’information triennale des salariés sur la reprise d’entreprise est transmise en réunion</w:t>
      </w:r>
      <w:r>
        <w:rPr>
          <w:rFonts w:ascii="Times New Roman" w:hAnsi="Times New Roman"/>
          <w:szCs w:val="24"/>
        </w:rPr>
        <w:t> :</w:t>
      </w:r>
    </w:p>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La Loi du 31 juillet 2014 a imposé aux sociétés commerciales (PME de moins de 250 salariés) de fournir à leurs salariés, tous</w:t>
      </w:r>
      <w:r>
        <w:rPr>
          <w:rFonts w:ascii="Times New Roman" w:hAnsi="Times New Roman"/>
          <w:szCs w:val="24"/>
        </w:rPr>
        <w:t xml:space="preserve"> les 3 ans, une information génér</w:t>
      </w:r>
      <w:r w:rsidRPr="009B7757">
        <w:rPr>
          <w:rFonts w:ascii="Times New Roman" w:hAnsi="Times New Roman"/>
          <w:szCs w:val="24"/>
        </w:rPr>
        <w:t>ale sur les « possibilités et conditions de r</w:t>
      </w:r>
      <w:r>
        <w:rPr>
          <w:rFonts w:ascii="Times New Roman" w:hAnsi="Times New Roman"/>
          <w:szCs w:val="24"/>
        </w:rPr>
        <w:t>eprise</w:t>
      </w:r>
      <w:r w:rsidRPr="009B7757">
        <w:rPr>
          <w:rFonts w:ascii="Times New Roman" w:hAnsi="Times New Roman"/>
          <w:szCs w:val="24"/>
        </w:rPr>
        <w:t> » d’une entreprise. La Loi MACRON a complété le dispositif afin que les salariés soient sensibilisés aux « réalités économiques et financières » de leur entreprise.</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Le décret du</w:t>
      </w:r>
      <w:r>
        <w:rPr>
          <w:rFonts w:ascii="Times New Roman" w:hAnsi="Times New Roman"/>
          <w:szCs w:val="24"/>
        </w:rPr>
        <w:t xml:space="preserve"> 4 janvier 2016 qui détaille le contenu</w:t>
      </w:r>
      <w:r w:rsidRPr="009B7757">
        <w:rPr>
          <w:rFonts w:ascii="Times New Roman" w:hAnsi="Times New Roman"/>
          <w:szCs w:val="24"/>
        </w:rPr>
        <w:t xml:space="preserve"> de cette information et les modalités de </w:t>
      </w:r>
      <w:r w:rsidRPr="00756100">
        <w:rPr>
          <w:rFonts w:ascii="Times New Roman" w:hAnsi="Times New Roman"/>
          <w:szCs w:val="24"/>
        </w:rPr>
        <w:t>transmission</w:t>
      </w:r>
      <w:r w:rsidRPr="009B7757">
        <w:rPr>
          <w:rFonts w:ascii="Times New Roman" w:hAnsi="Times New Roman"/>
          <w:szCs w:val="24"/>
        </w:rPr>
        <w:t xml:space="preserve"> </w:t>
      </w:r>
      <w:r>
        <w:rPr>
          <w:rFonts w:ascii="Times New Roman" w:hAnsi="Times New Roman"/>
          <w:szCs w:val="24"/>
        </w:rPr>
        <w:t>est entré</w:t>
      </w:r>
      <w:r w:rsidRPr="009B7757">
        <w:rPr>
          <w:rFonts w:ascii="Times New Roman" w:hAnsi="Times New Roman"/>
          <w:szCs w:val="24"/>
        </w:rPr>
        <w:t xml:space="preserve"> en vigueur le 6 janvier 2016.</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L’information triennale comprend :</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Pr>
          <w:rFonts w:ascii="Times New Roman" w:hAnsi="Times New Roman"/>
          <w:szCs w:val="24"/>
        </w:rPr>
        <w:t>- Les principales</w:t>
      </w:r>
      <w:r w:rsidRPr="009B7757">
        <w:rPr>
          <w:rFonts w:ascii="Times New Roman" w:hAnsi="Times New Roman"/>
          <w:szCs w:val="24"/>
        </w:rPr>
        <w:t xml:space="preserve"> étapes d’un projet de reprise d’une société</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 xml:space="preserve">- Une liste d’organismes pouvant fournir un </w:t>
      </w:r>
      <w:r w:rsidRPr="00756100">
        <w:rPr>
          <w:rFonts w:ascii="Times New Roman" w:hAnsi="Times New Roman"/>
          <w:szCs w:val="24"/>
        </w:rPr>
        <w:t>accompagnement, des</w:t>
      </w:r>
      <w:r w:rsidRPr="009B7757">
        <w:rPr>
          <w:rFonts w:ascii="Times New Roman" w:hAnsi="Times New Roman"/>
          <w:szCs w:val="24"/>
        </w:rPr>
        <w:t xml:space="preserve"> conseils ou une formation en matière de reprise d’une société par les salariés</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 Les éléments généraux relatifs aux aspects juridiques de la reprise d’une société par les salariés</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 Les éléments généraux en matière de dispositif d’aide financière et d’accompagnement</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 Les principaux critères de valorisation de la société, ainsi que la structure de son capital et son évolution prévisible</w:t>
      </w:r>
      <w:r>
        <w:rPr>
          <w:rFonts w:ascii="Times New Roman" w:hAnsi="Times New Roman"/>
          <w:szCs w:val="24"/>
        </w:rPr>
        <w:t>.</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 xml:space="preserve">L’information est présentée aux salariés par le représentant légal ou son délégataire au cours d’une réunion à laquelle les salariés doivent être </w:t>
      </w:r>
      <w:r w:rsidRPr="00756100">
        <w:rPr>
          <w:rFonts w:ascii="Times New Roman" w:hAnsi="Times New Roman"/>
          <w:szCs w:val="24"/>
        </w:rPr>
        <w:t>convoqués</w:t>
      </w:r>
      <w:r w:rsidRPr="009B7757">
        <w:rPr>
          <w:rFonts w:ascii="Times New Roman" w:hAnsi="Times New Roman"/>
          <w:szCs w:val="24"/>
        </w:rPr>
        <w:t xml:space="preserve"> par tout moyen leur permettant d’en avoir connaissance : lettre recommandée AR</w:t>
      </w:r>
      <w:r w:rsidRPr="00756100">
        <w:rPr>
          <w:rFonts w:ascii="Times New Roman" w:hAnsi="Times New Roman"/>
          <w:szCs w:val="24"/>
        </w:rPr>
        <w:t>, lettre</w:t>
      </w:r>
      <w:r w:rsidRPr="009B7757">
        <w:rPr>
          <w:rFonts w:ascii="Times New Roman" w:hAnsi="Times New Roman"/>
          <w:szCs w:val="24"/>
        </w:rPr>
        <w:t xml:space="preserve"> remise contre décharge, courriel avec accusé de réception.</w:t>
      </w:r>
    </w:p>
    <w:p w:rsidR="00A6285D" w:rsidRPr="009B7757" w:rsidRDefault="00A6285D" w:rsidP="00A6285D">
      <w:pPr>
        <w:pStyle w:val="En-tte"/>
        <w:tabs>
          <w:tab w:val="clear" w:pos="4536"/>
          <w:tab w:val="clear" w:pos="9072"/>
          <w:tab w:val="left" w:pos="-360"/>
          <w:tab w:val="left" w:pos="1020"/>
        </w:tabs>
        <w:ind w:left="426"/>
        <w:jc w:val="both"/>
        <w:rPr>
          <w:rFonts w:ascii="Times New Roman" w:hAnsi="Times New Roman"/>
          <w:szCs w:val="24"/>
        </w:rPr>
      </w:pPr>
    </w:p>
    <w:p w:rsidR="00A6285D" w:rsidRDefault="00A6285D" w:rsidP="00A6285D">
      <w:pPr>
        <w:pStyle w:val="En-tte"/>
        <w:tabs>
          <w:tab w:val="clear" w:pos="4536"/>
          <w:tab w:val="clear" w:pos="9072"/>
          <w:tab w:val="left" w:pos="-360"/>
          <w:tab w:val="left" w:pos="1020"/>
        </w:tabs>
        <w:ind w:left="426"/>
        <w:jc w:val="both"/>
        <w:rPr>
          <w:rFonts w:ascii="Times New Roman" w:hAnsi="Times New Roman"/>
          <w:szCs w:val="24"/>
        </w:rPr>
      </w:pPr>
      <w:r w:rsidRPr="009B7757">
        <w:rPr>
          <w:rFonts w:ascii="Times New Roman" w:hAnsi="Times New Roman"/>
          <w:szCs w:val="24"/>
        </w:rPr>
        <w:t>L’information peut être présentée par écrit ou oralement.</w:t>
      </w:r>
    </w:p>
    <w:p w:rsidR="00906E0D" w:rsidRPr="00A6285D" w:rsidRDefault="00061017">
      <w:pPr>
        <w:rPr>
          <w:sz w:val="24"/>
        </w:rPr>
      </w:pPr>
    </w:p>
    <w:sectPr w:rsidR="00906E0D" w:rsidRPr="00A62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5D"/>
    <w:rsid w:val="00061017"/>
    <w:rsid w:val="001639CE"/>
    <w:rsid w:val="008602DA"/>
    <w:rsid w:val="008D58DA"/>
    <w:rsid w:val="00A62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CAF52-5ED6-4050-9A07-D73F74D7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5D"/>
    <w:pPr>
      <w:spacing w:before="120" w:after="0" w:line="240" w:lineRule="auto"/>
    </w:pPr>
    <w:rPr>
      <w:rFonts w:ascii="Times New Roman" w:eastAsia="Times New Roman" w:hAnsi="Times New Roman"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A6285D"/>
    <w:pPr>
      <w:tabs>
        <w:tab w:val="center" w:pos="4536"/>
        <w:tab w:val="right" w:pos="9072"/>
      </w:tabs>
      <w:spacing w:before="0"/>
    </w:pPr>
    <w:rPr>
      <w:rFonts w:ascii="Times" w:eastAsia="Times" w:hAnsi="Times"/>
      <w:sz w:val="24"/>
      <w:szCs w:val="20"/>
    </w:rPr>
  </w:style>
  <w:style w:type="character" w:customStyle="1" w:styleId="En-tteCar">
    <w:name w:val="En-tête Car"/>
    <w:basedOn w:val="Policepardfaut"/>
    <w:link w:val="En-tte"/>
    <w:semiHidden/>
    <w:rsid w:val="00A6285D"/>
    <w:rPr>
      <w:rFonts w:ascii="Times" w:eastAsia="Times" w:hAnsi="Times" w:cs="Times New Roman"/>
      <w:sz w:val="24"/>
      <w:szCs w:val="20"/>
      <w:lang w:eastAsia="fr-FR"/>
    </w:rPr>
  </w:style>
  <w:style w:type="paragraph" w:styleId="NormalWeb">
    <w:name w:val="Normal (Web)"/>
    <w:basedOn w:val="Normal"/>
    <w:uiPriority w:val="99"/>
    <w:semiHidden/>
    <w:unhideWhenUsed/>
    <w:rsid w:val="001639CE"/>
    <w:pPr>
      <w:spacing w:before="100" w:beforeAutospacing="1" w:after="100" w:afterAutospacing="1"/>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Poste7</cp:lastModifiedBy>
  <cp:revision>2</cp:revision>
  <dcterms:created xsi:type="dcterms:W3CDTF">2016-05-17T13:15:00Z</dcterms:created>
  <dcterms:modified xsi:type="dcterms:W3CDTF">2016-05-17T13:15:00Z</dcterms:modified>
</cp:coreProperties>
</file>